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14 days after exposure to the virus. Symptoms may include: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particulates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r w:rsidRPr="00157C69">
        <w:rPr>
          <w:rFonts w:ascii="Arial" w:hAnsi="Arial" w:cs="Arial"/>
          <w:sz w:val="24"/>
          <w:szCs w:val="24"/>
        </w:rPr>
        <w:t xml:space="preserve">In order to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whether or not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Death;</w:t>
      </w:r>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life-threatening adverse event;</w:t>
      </w:r>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Inpatient hospitalization or prolongation of existing hospitalization;</w:t>
      </w:r>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persistent or significant incapacity or substantial disruption of the ability to conduct normal life functions;</w:t>
      </w:r>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 congenital anomaly/birth defect;</w:t>
      </w:r>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28357E"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28357E"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FDA issued this EUA, based on Pfizer-BioNTech’s request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2D15EEDC"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r w:rsidR="00832D73">
        <w:rPr>
          <w:rFonts w:ascii="Arial" w:hAnsi="Arial" w:cs="Arial"/>
          <w:sz w:val="24"/>
          <w:szCs w:val="24"/>
        </w:rPr>
        <w:t>1</w:t>
      </w:r>
      <w:r w:rsidR="00D15F5A">
        <w:rPr>
          <w:rFonts w:ascii="Arial" w:hAnsi="Arial" w:cs="Arial"/>
          <w:sz w:val="24"/>
          <w:szCs w:val="24"/>
        </w:rPr>
        <w:t>a</w:t>
      </w:r>
    </w:p>
    <w:p w14:paraId="0BEBCC89" w14:textId="77777777" w:rsidR="00C04BD2" w:rsidRPr="006A71D5" w:rsidRDefault="00C04BD2" w:rsidP="00755975">
      <w:pPr>
        <w:keepNext/>
        <w:rPr>
          <w:rFonts w:ascii="Arial" w:hAnsi="Arial" w:cs="Arial"/>
          <w:sz w:val="24"/>
          <w:szCs w:val="24"/>
        </w:rPr>
      </w:pPr>
    </w:p>
    <w:p w14:paraId="09BF7CC8" w14:textId="6C3C69A1"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r w:rsidR="00832D73">
        <w:rPr>
          <w:rFonts w:ascii="Arial" w:hAnsi="Arial" w:cs="Arial"/>
          <w:sz w:val="24"/>
          <w:szCs w:val="24"/>
        </w:rPr>
        <w:t xml:space="preserve">XX Month </w:t>
      </w:r>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On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6944E38"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r w:rsidR="00D22A25" w:rsidRPr="00177859">
        <w:rPr>
          <w:rFonts w:eastAsia="Times New Roman"/>
          <w:b/>
          <w:sz w:val="16"/>
          <w:szCs w:val="16"/>
        </w:rPr>
        <w:t>USE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r w:rsidR="000F1BDD" w:rsidRPr="00177859">
        <w:rPr>
          <w:rFonts w:eastAsia="Times New Roman"/>
          <w:b/>
          <w:sz w:val="16"/>
          <w:szCs w:val="16"/>
        </w:rPr>
        <w:t>DESCRIPTION</w:t>
      </w:r>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p>
    <w:p w14:paraId="327B93A5" w14:textId="3AF903F6" w:rsidR="00B6483E" w:rsidRPr="00743BDD" w:rsidRDefault="00B6483E" w:rsidP="00755975">
      <w:pPr>
        <w:shd w:val="clear" w:color="auto" w:fill="FFFFFF"/>
        <w:ind w:left="720" w:hanging="446"/>
        <w:rPr>
          <w:rFonts w:eastAsia="Times New Roman"/>
          <w:sz w:val="16"/>
          <w:szCs w:val="16"/>
        </w:rPr>
      </w:pP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AD58193"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14"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14"/>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15"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100348A2">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284F9491">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15"/>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16"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16"/>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particulates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17" w:name="OLE_LINK2"/>
      <w:bookmarkStart w:id="18"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17"/>
    <w:bookmarkEnd w:id="18"/>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sz w:val="24"/>
          <w:szCs w:val="24"/>
        </w:rPr>
      </w:pPr>
    </w:p>
    <w:p w14:paraId="261DDB82" w14:textId="67D9F8B2" w:rsidR="002465E9" w:rsidRPr="006F1FBD" w:rsidRDefault="002465E9" w:rsidP="002465E9">
      <w:pPr>
        <w:rPr>
          <w:spacing w:val="-1"/>
          <w:sz w:val="24"/>
          <w:szCs w:val="24"/>
        </w:rPr>
      </w:pP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lastRenderedPageBreak/>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64AD2A0A"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sidR="007F6ADF">
        <w:rPr>
          <w:rFonts w:eastAsia="Times New Roman"/>
          <w:sz w:val="24"/>
          <w:szCs w:val="24"/>
        </w:rPr>
        <w:t xml:space="preserve"> through </w:t>
      </w:r>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with regard to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16 and 17 year-old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6232B8D8" w:rsidR="00CF4965" w:rsidRPr="000918D9" w:rsidRDefault="00953404" w:rsidP="00755975">
      <w:pPr>
        <w:keepNext/>
        <w:tabs>
          <w:tab w:val="left" w:pos="1080"/>
        </w:tabs>
        <w:ind w:left="1080" w:hanging="1080"/>
        <w:rPr>
          <w:b/>
          <w:bCs/>
          <w:sz w:val="24"/>
          <w:szCs w:val="24"/>
        </w:rPr>
      </w:pPr>
      <w:bookmarkStart w:id="19" w:name="_Hlk56493722"/>
      <w:r w:rsidRPr="000918D9">
        <w:rPr>
          <w:b/>
          <w:bCs/>
          <w:sz w:val="24"/>
          <w:szCs w:val="24"/>
        </w:rPr>
        <w:lastRenderedPageBreak/>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007A7748">
        <w:rPr>
          <w:b/>
          <w:bCs/>
          <w:sz w:val="24"/>
          <w:szCs w:val="24"/>
        </w:rPr>
        <w:t xml:space="preserve"> Through </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19"/>
    </w:tbl>
    <w:p w14:paraId="65DC4E9C" w14:textId="77777777" w:rsidR="00C125E9" w:rsidRDefault="00C125E9" w:rsidP="00755975">
      <w:pPr>
        <w:shd w:val="clear" w:color="auto" w:fill="FFFFFF"/>
        <w:rPr>
          <w:rFonts w:eastAsia="Times New Roman"/>
          <w:sz w:val="24"/>
        </w:rPr>
      </w:pPr>
    </w:p>
    <w:p w14:paraId="40672FB7" w14:textId="3237335A"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007A7748">
        <w:rPr>
          <w:b/>
          <w:bCs/>
          <w:sz w:val="24"/>
          <w:szCs w:val="24"/>
        </w:rPr>
        <w:t xml:space="preserve"> Through </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655D8445"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r w:rsidR="009C0C49">
        <w:rPr>
          <w:rFonts w:eastAsia="Times New Roman"/>
          <w:sz w:val="24"/>
        </w:rPr>
        <w:t>hrough</w:t>
      </w:r>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r w:rsidR="00C7145D">
        <w:rPr>
          <w:rFonts w:eastAsia="Times New Roman"/>
          <w:sz w:val="24"/>
        </w:rPr>
        <w:t> </w:t>
      </w:r>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r w:rsidR="00C7145D">
        <w:rPr>
          <w:rFonts w:eastAsia="Arial"/>
          <w:bCs/>
          <w:sz w:val="24"/>
          <w:szCs w:val="24"/>
        </w:rPr>
        <w:noBreakHyphen/>
      </w:r>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4FA8311E"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r w:rsidR="005525BE">
        <w:rPr>
          <w:rFonts w:eastAsia="Times New Roman"/>
          <w:sz w:val="24"/>
        </w:rPr>
        <w:t>hrough</w:t>
      </w:r>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Overall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027134E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4C063B35"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09E3236D"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analysis of</w:t>
      </w:r>
      <w:r w:rsidRPr="0087669B">
        <w:rPr>
          <w:rFonts w:eastAsia="Times New Roman"/>
          <w:sz w:val="24"/>
        </w:rPr>
        <w:t xml:space="preserve"> Study 2 </w:t>
      </w:r>
      <w:r>
        <w:rPr>
          <w:rFonts w:eastAsia="Times New Roman"/>
          <w:sz w:val="24"/>
        </w:rPr>
        <w:t>among 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6800544C" w:rsidR="000A4F47" w:rsidRDefault="004C2100" w:rsidP="000A4F47">
      <w:pPr>
        <w:shd w:val="clear" w:color="auto" w:fill="FFFFFF"/>
        <w:rPr>
          <w:rFonts w:eastAsia="Times New Roman"/>
          <w:sz w:val="24"/>
        </w:rPr>
      </w:pPr>
      <w:r>
        <w:rPr>
          <w:rFonts w:eastAsia="Times New Roman"/>
          <w:sz w:val="24"/>
        </w:rPr>
        <w:t xml:space="preserve">Serious adverse events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Pr>
          <w:rFonts w:eastAsia="Times New Roman"/>
          <w:sz w:val="24"/>
        </w:rPr>
        <w:t>0.2</w:t>
      </w:r>
      <w:r w:rsidRPr="0087669B">
        <w:rPr>
          <w:rFonts w:eastAsia="Times New Roman"/>
          <w:sz w:val="24"/>
        </w:rPr>
        <w:t xml:space="preserve">% 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315F91D5" w:rsidR="004C2100" w:rsidRDefault="00E77239" w:rsidP="00755975">
      <w:pPr>
        <w:shd w:val="clear" w:color="auto" w:fill="FFFFFF"/>
        <w:rPr>
          <w:rFonts w:eastAsia="Times New Roman"/>
          <w:sz w:val="24"/>
        </w:rPr>
      </w:pPr>
      <w:r w:rsidRPr="001E7E2F">
        <w:rPr>
          <w:rFonts w:eastAsia="Times New Roman"/>
          <w:sz w:val="24"/>
        </w:rPr>
        <w:t>All events, which included n</w:t>
      </w:r>
      <w:r w:rsidR="004C2100" w:rsidRPr="001E7E2F">
        <w:rPr>
          <w:rFonts w:eastAsia="Times New Roman"/>
          <w:sz w:val="24"/>
        </w:rPr>
        <w:t>on-serious adverse events</w:t>
      </w:r>
      <w:r w:rsidR="00B63540">
        <w:rPr>
          <w:rFonts w:eastAsia="Times New Roman"/>
          <w:sz w:val="24"/>
        </w:rPr>
        <w:t>,</w:t>
      </w:r>
      <w:r w:rsidR="004C2100" w:rsidRPr="001E7E2F">
        <w:rPr>
          <w:rFonts w:eastAsia="Times New Roman"/>
          <w:sz w:val="24"/>
        </w:rPr>
        <w:t xml:space="preserve"> were reported by </w:t>
      </w:r>
      <w:r w:rsidR="00E94F61" w:rsidRPr="001E7E2F">
        <w:rPr>
          <w:rFonts w:eastAsia="Times New Roman"/>
          <w:sz w:val="24"/>
        </w:rPr>
        <w:t>6.0</w:t>
      </w:r>
      <w:r w:rsidR="004C2100" w:rsidRPr="001E7E2F">
        <w:rPr>
          <w:rFonts w:eastAsia="Times New Roman"/>
          <w:sz w:val="24"/>
        </w:rPr>
        <w:t xml:space="preserve">% 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r w:rsidR="004634ED" w:rsidRPr="001E7E2F">
        <w:rPr>
          <w:rFonts w:eastAsia="Times New Roman"/>
          <w:sz w:val="24"/>
        </w:rPr>
        <w:t>5.9</w:t>
      </w:r>
      <w:r w:rsidR="004C2100" w:rsidRPr="001E7E2F">
        <w:rPr>
          <w:rFonts w:eastAsia="Times New Roman"/>
          <w:sz w:val="24"/>
        </w:rPr>
        <w:t>% 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20"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20"/>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Vaccine administration errors whether or not associated with an adverse event</w:t>
      </w:r>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Cases of COVID-19 that result in hospitalization or death</w:t>
      </w:r>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A persistent or significant incapacity or substantial disruption of the ability to conduct normal life functions</w:t>
      </w:r>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above</w:t>
      </w:r>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If you are unable to submit this form electronically, you may fax it to VAERS at 1-877-721-0366. If you need additional help submitting a report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28357E"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r w:rsidR="00E845A4" w:rsidRPr="000918D9">
        <w:rPr>
          <w:b/>
          <w:bCs/>
          <w:sz w:val="24"/>
          <w:szCs w:val="24"/>
        </w:rPr>
        <w:t>USE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21"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21"/>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r w:rsidR="00E845A4" w:rsidRPr="000918D9">
        <w:rPr>
          <w:b/>
          <w:bCs/>
          <w:sz w:val="24"/>
          <w:szCs w:val="24"/>
        </w:rPr>
        <w:t xml:space="preserve">DESCRIPTION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r w:rsidR="00162316" w:rsidRPr="000918D9">
        <w:rPr>
          <w:sz w:val="24"/>
          <w:szCs w:val="24"/>
        </w:rPr>
        <w:t>included</w:t>
      </w:r>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Demographics (population for the primary efficacy endpoint)</w:t>
      </w:r>
      <w:r w:rsidR="007B3A58" w:rsidRPr="007B3A58">
        <w:rPr>
          <w:b/>
          <w:bCs/>
          <w:sz w:val="24"/>
          <w:szCs w:val="24"/>
          <w:vertAlign w:val="superscript"/>
        </w:rPr>
        <w:t>a</w:t>
      </w:r>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 xml:space="preserve">≥12 through 15 </w:t>
            </w:r>
            <w:proofErr w:type="spellStart"/>
            <w:r w:rsidRPr="002F5ECE">
              <w:rPr>
                <w:color w:val="000000"/>
                <w:sz w:val="24"/>
                <w:szCs w:val="24"/>
              </w:rPr>
              <w:t>years</w:t>
            </w:r>
            <w:r w:rsidR="00923BAA" w:rsidRPr="00923BAA">
              <w:rPr>
                <w:color w:val="000000"/>
                <w:sz w:val="24"/>
                <w:szCs w:val="24"/>
                <w:vertAlign w:val="superscript"/>
              </w:rPr>
              <w:t>b</w:t>
            </w:r>
            <w:proofErr w:type="spellEnd"/>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Native Hawaiian or other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3A6A7883" w:rsidR="001D5E8A" w:rsidRPr="002F5ECE" w:rsidRDefault="001D5E8A" w:rsidP="00755975">
            <w:pPr>
              <w:ind w:left="360"/>
              <w:rPr>
                <w:color w:val="000000"/>
                <w:sz w:val="24"/>
                <w:szCs w:val="24"/>
              </w:rPr>
            </w:pPr>
            <w:proofErr w:type="spellStart"/>
            <w:r w:rsidRPr="002F5ECE">
              <w:rPr>
                <w:color w:val="000000"/>
                <w:sz w:val="24"/>
                <w:szCs w:val="24"/>
              </w:rPr>
              <w:t>Other</w:t>
            </w:r>
            <w:r w:rsidR="00923BAA">
              <w:rPr>
                <w:color w:val="000000"/>
                <w:sz w:val="24"/>
                <w:szCs w:val="24"/>
                <w:vertAlign w:val="superscript"/>
              </w:rPr>
              <w:t>c</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219E1528" w:rsidR="001D5E8A" w:rsidRPr="002F5ECE" w:rsidRDefault="001D5E8A" w:rsidP="00755975">
            <w:pPr>
              <w:rPr>
                <w:color w:val="000000"/>
                <w:sz w:val="24"/>
                <w:szCs w:val="24"/>
              </w:rPr>
            </w:pPr>
            <w:proofErr w:type="spellStart"/>
            <w:r w:rsidRPr="002F5ECE">
              <w:rPr>
                <w:color w:val="000000"/>
                <w:sz w:val="24"/>
                <w:szCs w:val="24"/>
              </w:rPr>
              <w:t>Comorbidities</w:t>
            </w:r>
            <w:r w:rsidR="00923BAA">
              <w:rPr>
                <w:color w:val="000000"/>
                <w:sz w:val="24"/>
                <w:szCs w:val="24"/>
                <w:vertAlign w:val="superscript"/>
              </w:rPr>
              <w:t>d</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r>
              <w:rPr>
                <w:rFonts w:eastAsia="Calibri"/>
                <w:color w:val="000000"/>
              </w:rPr>
              <w:t>b.</w:t>
            </w:r>
            <w:r w:rsidRPr="00BC7F69">
              <w:rPr>
                <w:rFonts w:eastAsia="Calibri"/>
                <w:color w:val="000000"/>
                <w:vertAlign w:val="superscript"/>
              </w:rPr>
              <w:tab/>
            </w:r>
            <w:r w:rsidR="00F63D6E" w:rsidRPr="00F63D6E">
              <w:t>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cases, and did not affect efficacy conclusions.</w:t>
            </w:r>
            <w:r w:rsidR="00F63D6E" w:rsidRPr="00BC7F69">
              <w:rPr>
                <w:rFonts w:eastAsia="Calibri"/>
                <w:color w:val="000000"/>
              </w:rPr>
              <w:t xml:space="preserve"> </w:t>
            </w:r>
            <w:r w:rsidR="0048592F" w:rsidRPr="00BC7F69">
              <w:rPr>
                <w:rFonts w:eastAsia="Calibri"/>
                <w:color w:val="000000"/>
              </w:rPr>
              <w:t xml:space="preserve"> </w:t>
            </w:r>
          </w:p>
          <w:p w14:paraId="4620E292" w14:textId="489E51A8" w:rsidR="001D5E8A" w:rsidRDefault="00923BAA" w:rsidP="00755975">
            <w:pPr>
              <w:tabs>
                <w:tab w:val="left" w:pos="341"/>
              </w:tabs>
              <w:ind w:left="341" w:hanging="341"/>
              <w:rPr>
                <w:rFonts w:eastAsia="Calibri"/>
                <w:color w:val="000000"/>
              </w:rPr>
            </w:pPr>
            <w:r>
              <w:rPr>
                <w:rFonts w:eastAsia="Calibri"/>
                <w:color w:val="000000"/>
              </w:rPr>
              <w:t>c</w:t>
            </w:r>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7CAF87B9" w:rsidR="001D5E8A" w:rsidRDefault="00923BAA" w:rsidP="00755975">
            <w:pPr>
              <w:tabs>
                <w:tab w:val="left" w:pos="341"/>
              </w:tabs>
              <w:ind w:left="341" w:hanging="341"/>
              <w:rPr>
                <w:rFonts w:eastAsia="Calibri"/>
                <w:color w:val="000000"/>
              </w:rPr>
            </w:pPr>
            <w:r>
              <w:rPr>
                <w:rFonts w:eastAsia="Calibri"/>
                <w:color w:val="000000"/>
              </w:rPr>
              <w:t>d</w:t>
            </w:r>
            <w:r w:rsidR="00CD70C8">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36EF9CA3" w:rsidR="006B7166" w:rsidRDefault="006B7166" w:rsidP="00755975">
      <w:pPr>
        <w:rPr>
          <w:sz w:val="24"/>
          <w:szCs w:val="24"/>
        </w:rPr>
      </w:pPr>
      <w:bookmarkStart w:id="22" w:name="IDX"/>
      <w:bookmarkStart w:id="23" w:name="_Hlk57121030"/>
      <w:bookmarkEnd w:id="22"/>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r w:rsidR="00D12D34">
        <w:rPr>
          <w:sz w:val="24"/>
          <w:szCs w:val="24"/>
        </w:rPr>
        <w:t>hrough</w:t>
      </w:r>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r w:rsidR="00D12D34">
        <w:rPr>
          <w:sz w:val="24"/>
          <w:szCs w:val="24"/>
        </w:rPr>
        <w:t>hrough</w:t>
      </w:r>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r w:rsidR="006953EC">
        <w:rPr>
          <w:sz w:val="24"/>
          <w:szCs w:val="24"/>
        </w:rPr>
        <w:t>,</w:t>
      </w:r>
      <w:r w:rsidR="008A1479" w:rsidRPr="00DA4A81">
        <w:rPr>
          <w:sz w:val="24"/>
          <w:szCs w:val="24"/>
        </w:rPr>
        <w:t xml:space="preserve"> </w:t>
      </w:r>
      <w:r w:rsidR="00B62A50" w:rsidRPr="00DA4A81">
        <w:rPr>
          <w:sz w:val="24"/>
          <w:szCs w:val="24"/>
        </w:rPr>
        <w:t xml:space="preserve">and </w:t>
      </w:r>
      <w:r w:rsidR="006F0E9E" w:rsidRPr="00DA4A81">
        <w:rPr>
          <w:sz w:val="24"/>
          <w:szCs w:val="24"/>
        </w:rPr>
        <w:t>12 t</w:t>
      </w:r>
      <w:r w:rsidR="00D12D34">
        <w:rPr>
          <w:sz w:val="24"/>
          <w:szCs w:val="24"/>
        </w:rPr>
        <w:t>hrough</w:t>
      </w:r>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23"/>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With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07D630A0" w14:textId="77777777" w:rsidTr="006953EC">
        <w:tc>
          <w:tcPr>
            <w:tcW w:w="1207" w:type="pct"/>
            <w:shd w:val="clear" w:color="auto" w:fill="auto"/>
            <w:vAlign w:val="bottom"/>
          </w:tcPr>
          <w:p w14:paraId="73D549AC" w14:textId="2752AF28"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89.6, 98.1)</w:t>
            </w:r>
            <w:r w:rsidR="00D87C62">
              <w:rPr>
                <w:rFonts w:ascii="Times New Roman" w:hAnsi="Times New Roman" w:cs="Times New Roman"/>
                <w:sz w:val="24"/>
                <w:szCs w:val="24"/>
                <w:vertAlign w:val="superscript"/>
              </w:rPr>
              <w:t>g</w:t>
            </w:r>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(66.7, 99.9)</w:t>
            </w:r>
            <w:r w:rsidR="00D87C62">
              <w:rPr>
                <w:rFonts w:ascii="Times New Roman" w:hAnsi="Times New Roman" w:cs="Times New Roman"/>
                <w:sz w:val="24"/>
                <w:szCs w:val="24"/>
                <w:vertAlign w:val="superscript"/>
              </w:rPr>
              <w:t>g</w:t>
            </w:r>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2A1667A0"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(89.1, 97.7)</w:t>
            </w:r>
            <w:r w:rsidR="00D87C62">
              <w:rPr>
                <w:rFonts w:ascii="Times New Roman" w:hAnsi="Times New Roman" w:cs="Times New Roman"/>
                <w:sz w:val="24"/>
                <w:szCs w:val="24"/>
                <w:vertAlign w:val="superscript"/>
              </w:rPr>
              <w:t>g</w:t>
            </w:r>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94.7 (66.8, 99.9)</w:t>
            </w:r>
            <w:r w:rsidR="00D87C62">
              <w:rPr>
                <w:rFonts w:ascii="Times New Roman" w:hAnsi="Times New Roman" w:cs="Times New Roman"/>
                <w:sz w:val="24"/>
                <w:szCs w:val="24"/>
                <w:vertAlign w:val="superscript"/>
              </w:rPr>
              <w:t>g</w:t>
            </w:r>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p>
          <w:p w14:paraId="0B7ACDAE" w14:textId="389233A7"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sidR="00AE61E7">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r w:rsidR="005E3765" w:rsidRPr="00174268">
              <w:rPr>
                <w:rFonts w:ascii="Times New Roman" w:hAnsi="Times New Roman" w:cs="Times New Roman"/>
                <w:color w:val="000000"/>
                <w:szCs w:val="20"/>
              </w:rPr>
              <w:t>VE</w:t>
            </w:r>
            <w:r w:rsidR="00AE61E7">
              <w:rPr>
                <w:rFonts w:ascii="Times New Roman" w:hAnsi="Times New Roman" w:cs="Times New Roman"/>
                <w:color w:val="000000"/>
                <w:szCs w:val="20"/>
              </w:rPr>
              <w:t>)</w:t>
            </w:r>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39CB1FCF"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40900EB5"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189B701C" w14:textId="77777777" w:rsidR="000D32D0" w:rsidRPr="00B650B1" w:rsidRDefault="000D32D0" w:rsidP="00755975">
      <w:pPr>
        <w:keepNext/>
        <w:textAlignment w:val="baseline"/>
        <w:rPr>
          <w:sz w:val="24"/>
          <w:szCs w:val="24"/>
        </w:rPr>
      </w:pPr>
    </w:p>
    <w:p w14:paraId="1E28A3F6" w14:textId="35232393" w:rsidR="000D32D0" w:rsidRPr="00B650B1" w:rsidRDefault="000D32D0" w:rsidP="00755975">
      <w:pPr>
        <w:rPr>
          <w:sz w:val="24"/>
          <w:szCs w:val="24"/>
        </w:rPr>
      </w:pP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p>
    <w:p w14:paraId="1826DA47" w14:textId="77777777" w:rsidR="000D32D0" w:rsidRDefault="000D32D0" w:rsidP="00755975">
      <w:pPr>
        <w:keepNext/>
        <w:textAlignment w:val="baseline"/>
        <w:rPr>
          <w:sz w:val="24"/>
          <w:szCs w:val="24"/>
        </w:rPr>
      </w:pPr>
    </w:p>
    <w:p w14:paraId="25909B54" w14:textId="20189F70"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6BA947C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15B48CEC" w14:textId="2CBD2E9C"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4C717CA1"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c>
          <w:tcPr>
            <w:tcW w:w="5000" w:type="pct"/>
            <w:gridSpan w:val="4"/>
            <w:shd w:val="clear" w:color="auto" w:fill="auto"/>
            <w:vAlign w:val="bottom"/>
          </w:tcPr>
          <w:p w14:paraId="196B8481" w14:textId="592986C6" w:rsidR="00490A04" w:rsidRDefault="007369BD" w:rsidP="007369BD">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p>
        </w:tc>
      </w:tr>
      <w:tr w:rsidR="00C731AA" w:rsidRPr="006C6F02" w14:paraId="2D6AEDCF" w14:textId="77777777" w:rsidTr="006953EC">
        <w:tc>
          <w:tcPr>
            <w:tcW w:w="1332" w:type="pct"/>
            <w:shd w:val="clear" w:color="auto" w:fill="auto"/>
            <w:vAlign w:val="bottom"/>
          </w:tcPr>
          <w:p w14:paraId="636A40A8" w14:textId="77777777" w:rsidR="00C731AA" w:rsidRDefault="00C731AA" w:rsidP="00C731AA">
            <w:pPr>
              <w:pStyle w:val="tableparagraph"/>
              <w:rP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6D233FC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C52E90B"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3C341E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E3F6177" w14:textId="44C44550"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4" w:type="pct"/>
            <w:shd w:val="clear" w:color="auto" w:fill="auto"/>
            <w:vAlign w:val="bottom"/>
          </w:tcPr>
          <w:p w14:paraId="38A3D459"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0161C59" w14:textId="77777777" w:rsidR="00C731AA" w:rsidRPr="00AC302C" w:rsidRDefault="00C731AA" w:rsidP="00C731AA">
            <w:pPr>
              <w:pStyle w:val="tableparagraph"/>
              <w:keepNext/>
              <w:jc w:val="center"/>
              <w:rP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1924763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6D70DB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08B1CC5" w14:textId="23351B9D" w:rsidR="00C731AA" w:rsidRPr="00174268"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081" w:type="pct"/>
            <w:shd w:val="clear" w:color="auto" w:fill="auto"/>
            <w:vAlign w:val="bottom"/>
          </w:tcPr>
          <w:p w14:paraId="4771277B"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53DBAC39" w14:textId="5B048488"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p>
        </w:tc>
      </w:tr>
      <w:tr w:rsidR="004F04D5" w:rsidRPr="006C6F02" w14:paraId="15CD0F71" w14:textId="77777777" w:rsidTr="003E05AE">
        <w:tc>
          <w:tcPr>
            <w:tcW w:w="1332" w:type="pct"/>
            <w:shd w:val="clear" w:color="auto" w:fill="auto"/>
          </w:tcPr>
          <w:p w14:paraId="6A9AA6A4" w14:textId="45C09C65" w:rsidR="004F04D5" w:rsidRDefault="004F04D5" w:rsidP="004F04D5">
            <w:pPr>
              <w:pStyle w:val="tableparagraph"/>
              <w:rPr>
                <w:rFonts w:ascii="Times New Roman" w:hAnsi="Times New Roman" w:cs="Times New Roman"/>
                <w:sz w:val="24"/>
                <w:szCs w:val="24"/>
              </w:rPr>
            </w:pP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3277DA27"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9F7DFE8" w14:textId="3AF8EAC0"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94" w:type="pct"/>
            <w:shd w:val="clear" w:color="auto" w:fill="auto"/>
            <w:vAlign w:val="bottom"/>
          </w:tcPr>
          <w:p w14:paraId="7A52A6C1"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4555AA90" w14:textId="4FD4469A" w:rsidR="004F04D5" w:rsidRPr="00174268"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081" w:type="pct"/>
            <w:shd w:val="clear" w:color="auto" w:fill="auto"/>
            <w:vAlign w:val="bottom"/>
          </w:tcPr>
          <w:p w14:paraId="1DA571F7" w14:textId="77777777" w:rsidR="004F04D5" w:rsidRDefault="004F04D5" w:rsidP="004F04D5">
            <w:pPr>
              <w:pStyle w:val="tableparagraph"/>
              <w:keepNext/>
              <w:jc w:val="center"/>
              <w:rPr>
                <w:rFonts w:ascii="Times New Roman" w:hAnsi="Times New Roman" w:cs="Times New Roman"/>
                <w:sz w:val="24"/>
                <w:szCs w:val="24"/>
              </w:rPr>
            </w:pPr>
          </w:p>
          <w:p w14:paraId="027D23A5" w14:textId="6F11D969"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u w:val="single"/>
        </w:rPr>
      </w:pP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p>
    <w:p w14:paraId="31000011" w14:textId="77777777" w:rsidR="000D32D0" w:rsidRDefault="000D32D0" w:rsidP="00755975">
      <w:pPr>
        <w:pStyle w:val="paragraph0"/>
        <w:keepNext/>
        <w:spacing w:before="0" w:beforeAutospacing="0" w:after="0" w:afterAutospacing="0"/>
        <w:textAlignment w:val="baseline"/>
      </w:pPr>
    </w:p>
    <w:p w14:paraId="72FB7505" w14:textId="24B3E391"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p>
    <w:p w14:paraId="00A631E7" w14:textId="0B115407" w:rsidR="000D32D0" w:rsidRDefault="000D32D0" w:rsidP="00755975">
      <w:pPr>
        <w:rPr>
          <w:sz w:val="24"/>
          <w:szCs w:val="24"/>
        </w:rPr>
      </w:pPr>
    </w:p>
    <w:p w14:paraId="328D8A48" w14:textId="242DF557" w:rsidR="006E5570" w:rsidRPr="006953EC" w:rsidRDefault="00BC564C" w:rsidP="006953EC">
      <w:pPr>
        <w:keepNext/>
        <w:keepLines/>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trPr>
        <w:tc>
          <w:tcPr>
            <w:tcW w:w="810" w:type="pct"/>
            <w:tcBorders>
              <w:right w:val="nil"/>
            </w:tcBorders>
          </w:tcPr>
          <w:p w14:paraId="7AFEB821" w14:textId="77777777" w:rsidR="006E5570" w:rsidRPr="00C1210C" w:rsidRDefault="006E5570" w:rsidP="006953EC">
            <w:pPr>
              <w:keepNext/>
              <w:keepLines/>
              <w:rP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tc>
        <w:tc>
          <w:tcPr>
            <w:tcW w:w="644" w:type="pct"/>
            <w:tcBorders>
              <w:right w:val="nil"/>
            </w:tcBorders>
          </w:tcPr>
          <w:p w14:paraId="0AE03BF1" w14:textId="77777777" w:rsidR="006E5570" w:rsidRPr="00C1210C" w:rsidRDefault="006E5570" w:rsidP="006953EC">
            <w:pPr>
              <w:keepNext/>
              <w:keepLines/>
              <w:rP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b/>
                <w:bCs/>
                <w:color w:val="000000"/>
                <w:sz w:val="24"/>
                <w:szCs w:val="24"/>
                <w:shd w:val="clear" w:color="auto" w:fill="FFFFFF"/>
              </w:rPr>
            </w:pPr>
          </w:p>
        </w:tc>
      </w:tr>
      <w:tr w:rsidR="006E5570" w:rsidRPr="00C1210C" w14:paraId="48E0DB36" w14:textId="77777777" w:rsidTr="00D13E30">
        <w:trPr>
          <w:jc w:val="center"/>
        </w:trPr>
        <w:tc>
          <w:tcPr>
            <w:tcW w:w="810" w:type="pct"/>
            <w:vAlign w:val="bottom"/>
          </w:tcPr>
          <w:p w14:paraId="55B088F1" w14:textId="77777777" w:rsidR="006E5570" w:rsidRPr="00C1210C" w:rsidRDefault="006E5570" w:rsidP="006953EC">
            <w:pPr>
              <w:keepNext/>
              <w:keepLines/>
              <w:jc w:val="center"/>
              <w:rP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p>
          <w:p w14:paraId="2B82533C" w14:textId="77777777"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Pr="00C1210C">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190</w:t>
            </w:r>
          </w:p>
        </w:tc>
        <w:tc>
          <w:tcPr>
            <w:tcW w:w="1154" w:type="pct"/>
            <w:vAlign w:val="bottom"/>
          </w:tcPr>
          <w:p w14:paraId="41C000F5" w14:textId="1110854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p>
          <w:p w14:paraId="7DF1A0E0" w14:textId="09CDBFEF"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005A0172">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170</w:t>
            </w:r>
          </w:p>
        </w:tc>
        <w:tc>
          <w:tcPr>
            <w:tcW w:w="1430" w:type="pct"/>
            <w:gridSpan w:val="2"/>
            <w:vAlign w:val="bottom"/>
          </w:tcPr>
          <w:p w14:paraId="08734313" w14:textId="3D09CC36"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p>
        </w:tc>
      </w:tr>
      <w:tr w:rsidR="006E5570" w:rsidRPr="00C1210C" w14:paraId="001EAEB4" w14:textId="77777777" w:rsidTr="00D13E30">
        <w:trPr>
          <w:jc w:val="center"/>
        </w:trPr>
        <w:tc>
          <w:tcPr>
            <w:tcW w:w="810" w:type="pct"/>
            <w:vAlign w:val="bottom"/>
          </w:tcPr>
          <w:p w14:paraId="75468001" w14:textId="77777777" w:rsidR="006E5570" w:rsidRPr="00C1210C" w:rsidRDefault="006E5570" w:rsidP="00D13E30">
            <w:pPr>
              <w:keepNext/>
              <w:keepLines/>
              <w:rPr>
                <w:sz w:val="24"/>
                <w:szCs w:val="24"/>
              </w:rPr>
            </w:pPr>
            <w:r w:rsidRPr="00C1210C">
              <w:rPr>
                <w:b/>
                <w:bCs/>
                <w:color w:val="000000"/>
                <w:sz w:val="24"/>
                <w:szCs w:val="24"/>
                <w:shd w:val="clear" w:color="auto" w:fill="FFFFFF"/>
              </w:rPr>
              <w:t>Assay</w:t>
            </w:r>
          </w:p>
        </w:tc>
        <w:tc>
          <w:tcPr>
            <w:tcW w:w="483" w:type="pct"/>
            <w:vAlign w:val="bottom"/>
          </w:tcPr>
          <w:p w14:paraId="2CA99AF4" w14:textId="1229BEE9" w:rsidR="006E5570" w:rsidRPr="00C1210C" w:rsidRDefault="006E5570" w:rsidP="006953EC">
            <w:pPr>
              <w:keepNext/>
              <w:keepLines/>
              <w:jc w:val="center"/>
              <w:rPr>
                <w:sz w:val="24"/>
                <w:szCs w:val="24"/>
              </w:rPr>
            </w:pPr>
            <w:r w:rsidRPr="00C1210C">
              <w:rPr>
                <w:b/>
                <w:bCs/>
                <w:color w:val="000000"/>
                <w:sz w:val="24"/>
                <w:szCs w:val="24"/>
                <w:shd w:val="clear" w:color="auto" w:fill="FFFFFF"/>
              </w:rPr>
              <w:t xml:space="preserve">Time </w:t>
            </w:r>
            <w:proofErr w:type="spellStart"/>
            <w:r w:rsidRPr="00C1210C">
              <w:rPr>
                <w:b/>
                <w:bCs/>
                <w:color w:val="000000"/>
                <w:sz w:val="24"/>
                <w:szCs w:val="24"/>
                <w:shd w:val="clear" w:color="auto" w:fill="FFFFFF"/>
              </w:rPr>
              <w:t>Point</w:t>
            </w:r>
            <w:r w:rsidRPr="00E71403">
              <w:rPr>
                <w:b/>
                <w:bCs/>
                <w:color w:val="000000"/>
                <w:sz w:val="24"/>
                <w:szCs w:val="24"/>
                <w:shd w:val="clear" w:color="auto" w:fill="FFFFFF"/>
                <w:vertAlign w:val="superscript"/>
              </w:rPr>
              <w:t>b</w:t>
            </w:r>
            <w:proofErr w:type="spellEnd"/>
          </w:p>
        </w:tc>
        <w:tc>
          <w:tcPr>
            <w:tcW w:w="1123" w:type="pct"/>
            <w:vAlign w:val="bottom"/>
          </w:tcPr>
          <w:p w14:paraId="296DAA69" w14:textId="668D9BE0"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01AA4E66" w14:textId="7CF04AAC"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1154" w:type="pct"/>
            <w:vAlign w:val="bottom"/>
          </w:tcPr>
          <w:p w14:paraId="42930FA2" w14:textId="61A1D928"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7D8E44AA" w14:textId="0621324B"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644" w:type="pct"/>
            <w:vAlign w:val="bottom"/>
          </w:tcPr>
          <w:p w14:paraId="0F6E08EF" w14:textId="1914CC3E"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GMR</w:t>
            </w:r>
            <w:r w:rsidRPr="00C1210C">
              <w:rPr>
                <w:b/>
                <w:bCs/>
                <w:color w:val="000000"/>
                <w:sz w:val="24"/>
                <w:szCs w:val="24"/>
                <w:vertAlign w:val="superscript"/>
              </w:rPr>
              <w:t>d</w:t>
            </w:r>
            <w:proofErr w:type="spellEnd"/>
          </w:p>
          <w:p w14:paraId="55ED3501" w14:textId="51218EBF"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d</w:t>
            </w:r>
            <w:proofErr w:type="spellEnd"/>
            <w:r w:rsidRPr="00C1210C">
              <w:rPr>
                <w:b/>
                <w:bCs/>
                <w:color w:val="000000"/>
                <w:sz w:val="24"/>
                <w:szCs w:val="24"/>
                <w:shd w:val="clear" w:color="auto" w:fill="FFFFFF"/>
              </w:rPr>
              <w:t>)</w:t>
            </w:r>
          </w:p>
        </w:tc>
        <w:tc>
          <w:tcPr>
            <w:tcW w:w="786" w:type="pct"/>
            <w:vAlign w:val="bottom"/>
          </w:tcPr>
          <w:p w14:paraId="4EFC86B3" w14:textId="4DEC31E7"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 xml:space="preserve">Met Noninferiority </w:t>
            </w:r>
            <w:proofErr w:type="spellStart"/>
            <w:r w:rsidRPr="00C1210C">
              <w:rPr>
                <w:b/>
                <w:bCs/>
                <w:color w:val="000000"/>
                <w:sz w:val="24"/>
                <w:szCs w:val="24"/>
                <w:shd w:val="clear" w:color="auto" w:fill="FFFFFF"/>
              </w:rPr>
              <w:t>Objective</w:t>
            </w:r>
            <w:r w:rsidRPr="00C1210C">
              <w:rPr>
                <w:b/>
                <w:bCs/>
                <w:color w:val="000000"/>
                <w:sz w:val="24"/>
                <w:szCs w:val="24"/>
                <w:vertAlign w:val="superscript"/>
              </w:rPr>
              <w:t>e</w:t>
            </w:r>
            <w:proofErr w:type="spellEnd"/>
          </w:p>
          <w:p w14:paraId="08174780" w14:textId="03A7949A" w:rsidR="006E5570" w:rsidRPr="00C1210C" w:rsidRDefault="006E5570" w:rsidP="006953EC">
            <w:pPr>
              <w:keepNext/>
              <w:keepLines/>
              <w:jc w:val="center"/>
              <w:rPr>
                <w:sz w:val="24"/>
                <w:szCs w:val="24"/>
              </w:rPr>
            </w:pPr>
            <w:r w:rsidRPr="00C1210C">
              <w:rPr>
                <w:b/>
                <w:bCs/>
                <w:color w:val="000000"/>
                <w:sz w:val="24"/>
                <w:szCs w:val="24"/>
                <w:shd w:val="clear" w:color="auto" w:fill="FFFFFF"/>
              </w:rPr>
              <w:t>(Y/N)</w:t>
            </w:r>
          </w:p>
        </w:tc>
      </w:tr>
      <w:tr w:rsidR="006E5570" w:rsidRPr="00C1210C" w14:paraId="4FDE2868" w14:textId="77777777" w:rsidTr="00A079A0">
        <w:trPr>
          <w:jc w:val="center"/>
        </w:trPr>
        <w:tc>
          <w:tcPr>
            <w:tcW w:w="810" w:type="pct"/>
            <w:tcBorders>
              <w:bottom w:val="single" w:sz="4" w:space="0" w:color="auto"/>
            </w:tcBorders>
          </w:tcPr>
          <w:p w14:paraId="3420E185" w14:textId="62E48926" w:rsidR="006E5570" w:rsidRPr="00C1210C" w:rsidRDefault="006E5570" w:rsidP="006953EC">
            <w:pPr>
              <w:keepNext/>
              <w:keepLines/>
              <w:rPr>
                <w:sz w:val="24"/>
                <w:szCs w:val="24"/>
              </w:rPr>
            </w:pP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p>
        </w:tc>
        <w:tc>
          <w:tcPr>
            <w:tcW w:w="483" w:type="pct"/>
            <w:tcBorders>
              <w:bottom w:val="single" w:sz="4" w:space="0" w:color="auto"/>
            </w:tcBorders>
            <w:vAlign w:val="bottom"/>
          </w:tcPr>
          <w:p w14:paraId="63D32F88" w14:textId="3EF7E768" w:rsidR="006E5570" w:rsidRPr="00C1210C" w:rsidRDefault="006E5570" w:rsidP="006953EC">
            <w:pPr>
              <w:keepNext/>
              <w:keepLines/>
              <w:jc w:val="center"/>
              <w:rPr>
                <w:sz w:val="24"/>
                <w:szCs w:val="24"/>
              </w:rPr>
            </w:pP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p>
        </w:tc>
        <w:tc>
          <w:tcPr>
            <w:tcW w:w="1123" w:type="pct"/>
            <w:tcBorders>
              <w:bottom w:val="single" w:sz="4" w:space="0" w:color="auto"/>
            </w:tcBorders>
            <w:vAlign w:val="bottom"/>
          </w:tcPr>
          <w:p w14:paraId="55B6AA98" w14:textId="47756629"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1239.5</w:t>
            </w:r>
          </w:p>
          <w:p w14:paraId="37D35D88" w14:textId="132035A5" w:rsidR="006E5570" w:rsidRPr="00C1210C" w:rsidRDefault="006E5570" w:rsidP="006953EC">
            <w:pPr>
              <w:keepNext/>
              <w:keepLines/>
              <w:jc w:val="center"/>
              <w:rPr>
                <w:sz w:val="24"/>
                <w:szCs w:val="24"/>
              </w:rPr>
            </w:pPr>
            <w:r w:rsidRPr="00C1210C">
              <w:rPr>
                <w:color w:val="000000"/>
                <w:sz w:val="24"/>
                <w:szCs w:val="24"/>
                <w:shd w:val="clear" w:color="auto" w:fill="FFFFFF"/>
              </w:rPr>
              <w:t>(1095.5, 1402.5)</w:t>
            </w:r>
          </w:p>
        </w:tc>
        <w:tc>
          <w:tcPr>
            <w:tcW w:w="1154" w:type="pct"/>
            <w:tcBorders>
              <w:bottom w:val="single" w:sz="4" w:space="0" w:color="auto"/>
            </w:tcBorders>
            <w:vAlign w:val="bottom"/>
          </w:tcPr>
          <w:p w14:paraId="58FF4159" w14:textId="7DDD0384"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705.1</w:t>
            </w:r>
          </w:p>
          <w:p w14:paraId="42B7FE2D" w14:textId="41D66576" w:rsidR="006E5570" w:rsidRPr="00C1210C" w:rsidRDefault="006E5570" w:rsidP="006953EC">
            <w:pPr>
              <w:keepNext/>
              <w:keepLines/>
              <w:jc w:val="center"/>
              <w:rPr>
                <w:sz w:val="24"/>
                <w:szCs w:val="24"/>
              </w:rPr>
            </w:pPr>
            <w:r w:rsidRPr="00C1210C">
              <w:rPr>
                <w:color w:val="000000"/>
                <w:sz w:val="24"/>
                <w:szCs w:val="24"/>
                <w:shd w:val="clear" w:color="auto" w:fill="FFFFFF"/>
              </w:rPr>
              <w:t>(621.4, 800.2)</w:t>
            </w:r>
          </w:p>
        </w:tc>
        <w:tc>
          <w:tcPr>
            <w:tcW w:w="644" w:type="pct"/>
            <w:tcBorders>
              <w:bottom w:val="single" w:sz="4" w:space="0" w:color="auto"/>
            </w:tcBorders>
            <w:vAlign w:val="bottom"/>
          </w:tcPr>
          <w:p w14:paraId="54D5B8D1" w14:textId="22DCC9E1"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1.76</w:t>
            </w:r>
          </w:p>
          <w:p w14:paraId="279EE109" w14:textId="2AECADD6" w:rsidR="006E5570" w:rsidRPr="00C1210C" w:rsidRDefault="006E5570" w:rsidP="006953EC">
            <w:pPr>
              <w:keepNext/>
              <w:keepLines/>
              <w:jc w:val="center"/>
              <w:rPr>
                <w:sz w:val="24"/>
                <w:szCs w:val="24"/>
              </w:rPr>
            </w:pPr>
            <w:r w:rsidRPr="00C1210C">
              <w:rPr>
                <w:color w:val="000000"/>
                <w:sz w:val="24"/>
                <w:szCs w:val="24"/>
                <w:shd w:val="clear" w:color="auto" w:fill="FFFFFF"/>
              </w:rPr>
              <w:t>(1.47, 2.10)</w:t>
            </w:r>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sz w:val="24"/>
                <w:szCs w:val="24"/>
              </w:rPr>
            </w:pPr>
            <w:r w:rsidRPr="00C1210C">
              <w:rPr>
                <w:color w:val="000000"/>
                <w:sz w:val="24"/>
                <w:szCs w:val="24"/>
                <w:shd w:val="clear" w:color="auto" w:fill="FFFFFF"/>
              </w:rPr>
              <w:t>Y</w:t>
            </w:r>
          </w:p>
        </w:tc>
      </w:tr>
      <w:tr w:rsidR="00D3302B" w:rsidRPr="00C1210C" w14:paraId="0D4DAC2F" w14:textId="77777777" w:rsidTr="00A079A0">
        <w:trPr>
          <w:jc w:val="center"/>
        </w:trPr>
        <w:tc>
          <w:tcPr>
            <w:tcW w:w="5000" w:type="pct"/>
            <w:gridSpan w:val="6"/>
            <w:tcBorders>
              <w:left w:val="nil"/>
              <w:bottom w:val="nil"/>
              <w:right w:val="nil"/>
            </w:tcBorders>
          </w:tcPr>
          <w:p w14:paraId="211CBCDF" w14:textId="043E59FA" w:rsidR="00D13E30" w:rsidRDefault="00D3302B" w:rsidP="00D3302B">
            <w:pPr>
              <w:rPr>
                <w:color w:val="000000"/>
                <w:shd w:val="clear" w:color="auto" w:fill="FFFFFF"/>
              </w:rPr>
            </w:pP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p>
          <w:p w14:paraId="29E7A4DB" w14:textId="0B397803" w:rsidR="00D13E30" w:rsidRDefault="00D3302B" w:rsidP="00D3302B">
            <w:pPr>
              <w:rPr>
                <w:color w:val="000000"/>
                <w:shd w:val="clear" w:color="auto" w:fill="FFFFFF"/>
              </w:rPr>
            </w:pP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r w:rsidRPr="00E71403">
              <w:rPr>
                <w:color w:val="000000"/>
                <w:shd w:val="clear" w:color="auto" w:fill="FFFFFF"/>
              </w:rPr>
              <w:t>NAAT [nasal swab] at Visits 1 and 2), and had negative NAAT (nasal swab) at any unscheduled visit up to 1 month after Dose 2 were included in the analysis.</w:t>
            </w:r>
          </w:p>
          <w:p w14:paraId="35E78879" w14:textId="36BDB234" w:rsidR="00D13E30" w:rsidRDefault="00D3302B" w:rsidP="00D13E30">
            <w:pPr>
              <w:tabs>
                <w:tab w:val="left" w:pos="351"/>
              </w:tabs>
              <w:ind w:left="337" w:hanging="337"/>
              <w:rPr>
                <w:color w:val="000000"/>
                <w:shd w:val="clear" w:color="auto" w:fill="FFFFFF"/>
              </w:rPr>
            </w:pPr>
            <w:r w:rsidRPr="00E71403">
              <w:rPr>
                <w:color w:val="000000"/>
                <w:shd w:val="clear" w:color="auto" w:fill="FFFFFF"/>
              </w:rPr>
              <w:t>a.</w:t>
            </w:r>
            <w:r w:rsidR="00D13E30">
              <w:rPr>
                <w:color w:val="000000"/>
                <w:shd w:val="clear" w:color="auto" w:fill="FFFFFF"/>
              </w:rPr>
              <w:tab/>
            </w:r>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p>
          <w:p w14:paraId="575E97FC" w14:textId="266A47B0" w:rsidR="00D13E30" w:rsidRDefault="00D3302B" w:rsidP="00D13E30">
            <w:pPr>
              <w:tabs>
                <w:tab w:val="left" w:pos="351"/>
              </w:tabs>
              <w:ind w:left="337" w:hanging="337"/>
              <w:rPr>
                <w:color w:val="000000"/>
                <w:shd w:val="clear" w:color="auto" w:fill="FFFFFF"/>
              </w:rPr>
            </w:pPr>
            <w:r w:rsidRPr="00E71403">
              <w:rPr>
                <w:color w:val="000000"/>
                <w:shd w:val="clear" w:color="auto" w:fill="FFFFFF"/>
              </w:rPr>
              <w:t>b.</w:t>
            </w:r>
            <w:r w:rsidR="00D13E30">
              <w:rPr>
                <w:color w:val="000000"/>
                <w:shd w:val="clear" w:color="auto" w:fill="FFFFFF"/>
              </w:rPr>
              <w:tab/>
            </w:r>
            <w:r w:rsidRPr="00E71403">
              <w:rPr>
                <w:color w:val="000000"/>
                <w:shd w:val="clear" w:color="auto" w:fill="FFFFFF"/>
              </w:rPr>
              <w:t>Protocol-specified timing for blood sample collection.</w:t>
            </w:r>
          </w:p>
          <w:p w14:paraId="0D2D56C8" w14:textId="564CF9C3" w:rsidR="00D13E30" w:rsidRDefault="00D3302B" w:rsidP="00D13E30">
            <w:pPr>
              <w:tabs>
                <w:tab w:val="left" w:pos="351"/>
              </w:tabs>
              <w:ind w:left="337" w:hanging="337"/>
              <w:rPr>
                <w:color w:val="000000"/>
                <w:shd w:val="clear" w:color="auto" w:fill="FFFFFF"/>
              </w:rPr>
            </w:pPr>
            <w:r w:rsidRPr="00E71403">
              <w:rPr>
                <w:color w:val="000000"/>
                <w:shd w:val="clear" w:color="auto" w:fill="FFFFFF"/>
              </w:rPr>
              <w:t>c.</w:t>
            </w:r>
            <w:r w:rsidR="00D13E30">
              <w:rPr>
                <w:color w:val="000000"/>
                <w:shd w:val="clear" w:color="auto" w:fill="FFFFFF"/>
              </w:rPr>
              <w:tab/>
            </w:r>
            <w:r w:rsidRPr="00E71403">
              <w:rPr>
                <w:color w:val="000000"/>
                <w:shd w:val="clear" w:color="auto" w:fill="FFFFFF"/>
              </w:rPr>
              <w:t>GMTs and 2-sided 95% CIs were calculated by exponentiating the mean logarithm of the titers and the corresponding CIs (based on the Student t distribution). Assay results below the LLOQ were set to 0.5 × LLOQ.</w:t>
            </w:r>
          </w:p>
          <w:p w14:paraId="664F6586" w14:textId="109CBDAF" w:rsidR="00D13E30" w:rsidRDefault="00D3302B" w:rsidP="00D13E30">
            <w:pPr>
              <w:tabs>
                <w:tab w:val="left" w:pos="351"/>
              </w:tabs>
              <w:ind w:left="337" w:hanging="337"/>
              <w:rPr>
                <w:color w:val="000000"/>
                <w:shd w:val="clear" w:color="auto" w:fill="FFFFFF"/>
              </w:rPr>
            </w:pPr>
            <w:r w:rsidRPr="00E71403">
              <w:rPr>
                <w:color w:val="000000"/>
                <w:shd w:val="clear" w:color="auto" w:fill="FFFFFF"/>
              </w:rPr>
              <w:t>d.</w:t>
            </w:r>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and the corresponding CI (based on the Student t distribution).</w:t>
            </w:r>
          </w:p>
          <w:p w14:paraId="407C5111" w14:textId="0FB2D8FA" w:rsidR="00D3302B" w:rsidRDefault="00D3302B" w:rsidP="00D13E30">
            <w:pPr>
              <w:tabs>
                <w:tab w:val="left" w:pos="351"/>
              </w:tabs>
              <w:ind w:left="337" w:hanging="337"/>
            </w:pPr>
            <w:r w:rsidRPr="00DB3871">
              <w:rPr>
                <w:color w:val="000000"/>
                <w:shd w:val="clear" w:color="auto" w:fill="FFFFFF"/>
              </w:rPr>
              <w:t>e.</w:t>
            </w:r>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r>
              <w:rPr>
                <w:rStyle w:val="normaltextrun"/>
                <w:color w:val="000000"/>
                <w:shd w:val="clear" w:color="auto" w:fill="FFFFFF"/>
              </w:rPr>
              <w:t>Of note, the lower bound of the 2-sided 95% CI for</w:t>
            </w:r>
            <w:r w:rsidR="00D15F5A">
              <w:rPr>
                <w:rStyle w:val="normaltextrun"/>
                <w:color w:val="000000"/>
                <w:shd w:val="clear" w:color="auto" w:fill="FFFFFF"/>
              </w:rPr>
              <w:t xml:space="preserve"> </w:t>
            </w:r>
            <w:r>
              <w:rPr>
                <w:rStyle w:val="normaltextrun"/>
                <w:color w:val="000000"/>
                <w:shd w:val="clear" w:color="auto" w:fill="FFFFFF"/>
              </w:rPr>
              <w:t>the</w:t>
            </w:r>
            <w:r w:rsidR="00D15F5A">
              <w:rPr>
                <w:rStyle w:val="normaltextrun"/>
                <w:color w:val="000000"/>
                <w:shd w:val="clear" w:color="auto" w:fill="FFFFFF"/>
              </w:rPr>
              <w:t xml:space="preserve"> </w:t>
            </w:r>
            <w:r>
              <w:rPr>
                <w:rStyle w:val="normaltextrun"/>
                <w:color w:val="000000"/>
                <w:shd w:val="clear" w:color="auto" w:fill="FFFFFF"/>
              </w:rPr>
              <w:t>GMR is greater than 1.</w:t>
            </w:r>
            <w:r w:rsidRPr="00455DE9">
              <w:rPr>
                <w:rStyle w:val="normaltextrun"/>
                <w:color w:val="000000"/>
                <w:shd w:val="clear" w:color="auto" w:fill="FFFFFF"/>
              </w:rPr>
              <w:t>0</w:t>
            </w:r>
            <w:r w:rsidRPr="00455DE9">
              <w:t xml:space="preserve"> which indicates a statistically greater response in the adolescents 12 </w:t>
            </w:r>
            <w:r w:rsidR="00D15F5A">
              <w:t>through</w:t>
            </w:r>
            <w:r w:rsidRPr="00455DE9">
              <w:t xml:space="preserve"> 15 years of age than that of participants 16 </w:t>
            </w:r>
            <w:r w:rsidR="00D15F5A">
              <w:t>through</w:t>
            </w:r>
            <w:r w:rsidRPr="00455DE9">
              <w:t xml:space="preserve"> 25 years of age.</w:t>
            </w:r>
          </w:p>
          <w:p w14:paraId="10E71CEF" w14:textId="50FD7145" w:rsidR="009559CB" w:rsidRPr="00886682" w:rsidRDefault="009559CB" w:rsidP="00D13E30">
            <w:pPr>
              <w:tabs>
                <w:tab w:val="left" w:pos="351"/>
              </w:tabs>
              <w:ind w:left="337" w:hanging="337"/>
            </w:pPr>
            <w:r w:rsidRPr="00886682">
              <w:t>f.</w:t>
            </w:r>
            <w:r w:rsidR="00886682" w:rsidRPr="00886682">
              <w:t xml:space="preserve"> </w:t>
            </w:r>
            <w:r w:rsidR="00D13E30">
              <w:tab/>
            </w:r>
            <w:r w:rsidR="00886682" w:rsidRPr="00886682">
              <w:t xml:space="preserve">SARS-CoV-2 50% neutralization titers (NT50) were determined using the SARS-CoV-2 </w:t>
            </w:r>
            <w:proofErr w:type="spellStart"/>
            <w:r w:rsidR="00886682" w:rsidRPr="00886682">
              <w:t>mNeonGreen</w:t>
            </w:r>
            <w:proofErr w:type="spellEnd"/>
            <w:r w:rsidR="00886682" w:rsidRPr="00886682">
              <w:t xml:space="preserve"> Virus Microneutralization Assay. The assay uses a fluorescent reporter virus derived from the USA_WA1/2020 strain and virus neutralization is read on Vero cell monolayers. The sample NT50 is defined as the reciprocal serum dilution at which 50% of the virus is neutralized.</w:t>
            </w:r>
          </w:p>
        </w:tc>
      </w:tr>
    </w:tbl>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24" w:name="_Hlk52021589"/>
      <w:r w:rsidRPr="000918D9">
        <w:rPr>
          <w:spacing w:val="-1"/>
          <w:sz w:val="24"/>
          <w:szCs w:val="24"/>
          <w:u w:val="single" w:color="000000"/>
        </w:rPr>
        <w:t>Frozen Vials Prior to Use</w:t>
      </w:r>
    </w:p>
    <w:bookmarkEnd w:id="24"/>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 xml:space="preserve">an </w:t>
      </w:r>
      <w:r w:rsidR="00374D32" w:rsidRPr="000918D9">
        <w:rPr>
          <w:sz w:val="24"/>
          <w:szCs w:val="24"/>
        </w:rPr>
        <w:lastRenderedPageBreak/>
        <w:t>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28357E"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0E2667F6"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r w:rsidR="002B1DB5">
        <w:rPr>
          <w:sz w:val="24"/>
          <w:szCs w:val="24"/>
          <w:lang w:val="en"/>
        </w:rPr>
        <w:t>2</w:t>
      </w:r>
      <w:r w:rsidR="00D15F5A">
        <w:rPr>
          <w:sz w:val="24"/>
          <w:szCs w:val="24"/>
          <w:lang w:val="en"/>
        </w:rPr>
        <w:t>a</w:t>
      </w:r>
    </w:p>
    <w:p w14:paraId="4F7D6BF0" w14:textId="19A2A371" w:rsidR="00266A09" w:rsidRDefault="00266A09" w:rsidP="00755975">
      <w:pPr>
        <w:tabs>
          <w:tab w:val="left" w:pos="288"/>
        </w:tabs>
        <w:rPr>
          <w:sz w:val="24"/>
          <w:szCs w:val="24"/>
          <w:lang w:val="en"/>
        </w:rPr>
      </w:pPr>
    </w:p>
    <w:p w14:paraId="373EE902" w14:textId="7B6B71DD"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r w:rsidR="000E3766">
        <w:rPr>
          <w:sz w:val="24"/>
          <w:szCs w:val="24"/>
          <w:lang w:val="en"/>
        </w:rPr>
        <w:t xml:space="preserve">XX Month </w:t>
      </w:r>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85878" w14:textId="77777777" w:rsidR="007A7748" w:rsidRDefault="007A7748">
      <w:r>
        <w:separator/>
      </w:r>
    </w:p>
  </w:endnote>
  <w:endnote w:type="continuationSeparator" w:id="0">
    <w:p w14:paraId="3C114F57" w14:textId="77777777" w:rsidR="007A7748" w:rsidRDefault="007A7748">
      <w:r>
        <w:continuationSeparator/>
      </w:r>
    </w:p>
  </w:endnote>
  <w:endnote w:type="continuationNotice" w:id="1">
    <w:p w14:paraId="2DB11E9F" w14:textId="77777777" w:rsidR="007A7748" w:rsidRDefault="007A7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63FC32E7" w:rsidR="007A7748"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5D39BF6D" w:rsidR="007A7748" w:rsidRPr="000C4A04" w:rsidRDefault="007A7748" w:rsidP="000C4A0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0B71ADF0" w:rsidR="007A7748" w:rsidRPr="009D4E74" w:rsidRDefault="007A7748" w:rsidP="009D4E74">
    <w:pPr>
      <w:pStyle w:val="Footer"/>
      <w:tabs>
        <w:tab w:val="clear" w:pos="4513"/>
        <w:tab w:val="clear" w:pos="9026"/>
        <w:tab w:val="right" w:pos="8820"/>
      </w:tabs>
    </w:pPr>
    <w:r>
      <w:rPr>
        <w:noProof/>
      </w:rPr>
      <w:t>Revised: XX Month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33822" w14:textId="77777777" w:rsidR="007A7748" w:rsidRDefault="007A7748">
      <w:r>
        <w:separator/>
      </w:r>
    </w:p>
  </w:footnote>
  <w:footnote w:type="continuationSeparator" w:id="0">
    <w:p w14:paraId="3E9613B2" w14:textId="77777777" w:rsidR="007A7748" w:rsidRDefault="007A7748">
      <w:r>
        <w:continuationSeparator/>
      </w:r>
    </w:p>
  </w:footnote>
  <w:footnote w:type="continuationNotice" w:id="1">
    <w:p w14:paraId="6FC3877F" w14:textId="77777777" w:rsidR="007A7748" w:rsidRDefault="007A774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6573717">
    <w:abstractNumId w:val="34"/>
  </w:num>
  <w:num w:numId="2" w16cid:durableId="1601182633">
    <w:abstractNumId w:val="10"/>
  </w:num>
  <w:num w:numId="3" w16cid:durableId="101386463">
    <w:abstractNumId w:val="21"/>
  </w:num>
  <w:num w:numId="4" w16cid:durableId="504824094">
    <w:abstractNumId w:val="28"/>
  </w:num>
  <w:num w:numId="5" w16cid:durableId="1297250838">
    <w:abstractNumId w:val="12"/>
  </w:num>
  <w:num w:numId="6" w16cid:durableId="1439984997">
    <w:abstractNumId w:val="40"/>
  </w:num>
  <w:num w:numId="7" w16cid:durableId="1166241177">
    <w:abstractNumId w:val="22"/>
  </w:num>
  <w:num w:numId="8" w16cid:durableId="866336567">
    <w:abstractNumId w:val="18"/>
  </w:num>
  <w:num w:numId="9" w16cid:durableId="1964188426">
    <w:abstractNumId w:val="0"/>
  </w:num>
  <w:num w:numId="10" w16cid:durableId="2139839244">
    <w:abstractNumId w:val="2"/>
  </w:num>
  <w:num w:numId="11" w16cid:durableId="600800081">
    <w:abstractNumId w:val="4"/>
  </w:num>
  <w:num w:numId="12" w16cid:durableId="1692416280">
    <w:abstractNumId w:val="15"/>
  </w:num>
  <w:num w:numId="13" w16cid:durableId="3023752">
    <w:abstractNumId w:val="27"/>
  </w:num>
  <w:num w:numId="14" w16cid:durableId="471218853">
    <w:abstractNumId w:val="7"/>
  </w:num>
  <w:num w:numId="15" w16cid:durableId="30225349">
    <w:abstractNumId w:val="1"/>
  </w:num>
  <w:num w:numId="16" w16cid:durableId="410346321">
    <w:abstractNumId w:val="35"/>
  </w:num>
  <w:num w:numId="17" w16cid:durableId="1469013604">
    <w:abstractNumId w:val="39"/>
  </w:num>
  <w:num w:numId="18" w16cid:durableId="1025520588">
    <w:abstractNumId w:val="30"/>
  </w:num>
  <w:num w:numId="19" w16cid:durableId="1469586688">
    <w:abstractNumId w:val="25"/>
  </w:num>
  <w:num w:numId="20" w16cid:durableId="893933480">
    <w:abstractNumId w:val="31"/>
  </w:num>
  <w:num w:numId="21" w16cid:durableId="202327910">
    <w:abstractNumId w:val="6"/>
  </w:num>
  <w:num w:numId="22" w16cid:durableId="324356523">
    <w:abstractNumId w:val="32"/>
  </w:num>
  <w:num w:numId="23" w16cid:durableId="431442563">
    <w:abstractNumId w:val="41"/>
  </w:num>
  <w:num w:numId="24" w16cid:durableId="1883665205">
    <w:abstractNumId w:val="19"/>
  </w:num>
  <w:num w:numId="25" w16cid:durableId="6408850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365605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456817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950966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32771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9268955">
    <w:abstractNumId w:val="16"/>
  </w:num>
  <w:num w:numId="31" w16cid:durableId="95172162">
    <w:abstractNumId w:val="33"/>
  </w:num>
  <w:num w:numId="32" w16cid:durableId="184098141">
    <w:abstractNumId w:val="14"/>
  </w:num>
  <w:num w:numId="33" w16cid:durableId="1622299312">
    <w:abstractNumId w:val="17"/>
  </w:num>
  <w:num w:numId="34" w16cid:durableId="1271552568">
    <w:abstractNumId w:val="8"/>
  </w:num>
  <w:num w:numId="35" w16cid:durableId="171845796">
    <w:abstractNumId w:val="9"/>
  </w:num>
  <w:num w:numId="36" w16cid:durableId="1305505771">
    <w:abstractNumId w:val="20"/>
  </w:num>
  <w:num w:numId="37" w16cid:durableId="864906539">
    <w:abstractNumId w:val="24"/>
  </w:num>
  <w:num w:numId="38" w16cid:durableId="181938553">
    <w:abstractNumId w:val="3"/>
  </w:num>
  <w:num w:numId="39" w16cid:durableId="1587419429">
    <w:abstractNumId w:val="36"/>
  </w:num>
  <w:num w:numId="40" w16cid:durableId="1394235676">
    <w:abstractNumId w:val="26"/>
  </w:num>
  <w:num w:numId="41" w16cid:durableId="709187200">
    <w:abstractNumId w:val="29"/>
  </w:num>
  <w:num w:numId="42" w16cid:durableId="935213832">
    <w:abstractNumId w:val="5"/>
  </w:num>
  <w:num w:numId="43" w16cid:durableId="1279527948">
    <w:abstractNumId w:val="13"/>
  </w:num>
  <w:num w:numId="44" w16cid:durableId="57482372">
    <w:abstractNumId w:val="23"/>
  </w:num>
  <w:num w:numId="45" w16cid:durableId="1802262810">
    <w:abstractNumId w:val="38"/>
  </w:num>
  <w:num w:numId="46" w16cid:durableId="1645891197">
    <w:abstractNumId w:val="37"/>
  </w:num>
  <w:num w:numId="47" w16cid:durableId="887954571">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57E"/>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39E"/>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30F6"/>
    <w:rsid w:val="00633597"/>
    <w:rsid w:val="00633D83"/>
    <w:rsid w:val="00634166"/>
    <w:rsid w:val="00634592"/>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E"/>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260"/>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30C"/>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4F2"/>
    <w:rsid w:val="00A27A3C"/>
    <w:rsid w:val="00A27B81"/>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70E3"/>
    <w:rsid w:val="00BE74F4"/>
    <w:rsid w:val="00BE76DB"/>
    <w:rsid w:val="00BE770B"/>
    <w:rsid w:val="00BE7B23"/>
    <w:rsid w:val="00BE7DB9"/>
    <w:rsid w:val="00BF09DA"/>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12164</Words>
  <Characters>69341</Characters>
  <Application>Microsoft Office Word</Application>
  <DocSecurity>0</DocSecurity>
  <Lines>577</Lines>
  <Paragraphs>162</Paragraphs>
  <ScaleCrop>false</ScaleCrop>
  <Company/>
  <LinksUpToDate>false</LinksUpToDate>
  <CharactersWithSpaces>81343</CharactersWithSpaces>
  <SharedDoc>false</SharedDoc>
  <HLinks>
    <vt:vector size="114" baseType="variant">
      <vt:variant>
        <vt:i4>3014705</vt:i4>
      </vt:variant>
      <vt:variant>
        <vt:i4>54</vt:i4>
      </vt:variant>
      <vt:variant>
        <vt:i4>0</vt:i4>
      </vt:variant>
      <vt:variant>
        <vt:i4>5</vt:i4>
      </vt:variant>
      <vt:variant>
        <vt:lpwstr>http://www.cvdvaccine.com/</vt:lpwstr>
      </vt:variant>
      <vt:variant>
        <vt:lpwstr/>
      </vt:variant>
      <vt:variant>
        <vt:i4>3014705</vt:i4>
      </vt:variant>
      <vt:variant>
        <vt:i4>51</vt:i4>
      </vt:variant>
      <vt:variant>
        <vt:i4>0</vt:i4>
      </vt:variant>
      <vt:variant>
        <vt:i4>5</vt:i4>
      </vt:variant>
      <vt:variant>
        <vt:lpwstr>http://www.cvdvaccine.com/</vt:lpwstr>
      </vt:variant>
      <vt:variant>
        <vt:lpwstr/>
      </vt:variant>
      <vt:variant>
        <vt:i4>1376261</vt:i4>
      </vt:variant>
      <vt:variant>
        <vt:i4>48</vt:i4>
      </vt:variant>
      <vt:variant>
        <vt:i4>0</vt:i4>
      </vt:variant>
      <vt:variant>
        <vt:i4>5</vt:i4>
      </vt:variant>
      <vt:variant>
        <vt:lpwstr>https://www.cdc.gov/vaccines/programs/iis/about.html</vt:lpwstr>
      </vt:variant>
      <vt:variant>
        <vt:lpwstr/>
      </vt:variant>
      <vt:variant>
        <vt:i4>4587538</vt:i4>
      </vt:variant>
      <vt:variant>
        <vt:i4>45</vt:i4>
      </vt:variant>
      <vt:variant>
        <vt:i4>0</vt:i4>
      </vt:variant>
      <vt:variant>
        <vt:i4>5</vt:i4>
      </vt:variant>
      <vt:variant>
        <vt:lpwstr>http://www.pfizersafetyreporting.com/</vt:lpwstr>
      </vt:variant>
      <vt:variant>
        <vt:lpwstr/>
      </vt:variant>
      <vt:variant>
        <vt:i4>7995435</vt:i4>
      </vt:variant>
      <vt:variant>
        <vt:i4>42</vt:i4>
      </vt:variant>
      <vt:variant>
        <vt:i4>0</vt:i4>
      </vt:variant>
      <vt:variant>
        <vt:i4>5</vt:i4>
      </vt:variant>
      <vt:variant>
        <vt:lpwstr>https://vaers.hhs.gov/reportevent.html</vt:lpwstr>
      </vt:variant>
      <vt:variant>
        <vt:lpwstr/>
      </vt:variant>
      <vt:variant>
        <vt:i4>2097161</vt:i4>
      </vt:variant>
      <vt:variant>
        <vt:i4>39</vt:i4>
      </vt:variant>
      <vt:variant>
        <vt:i4>0</vt:i4>
      </vt:variant>
      <vt:variant>
        <vt:i4>5</vt:i4>
      </vt:variant>
      <vt:variant>
        <vt:lpwstr>mailto:cicp@hrsa.gov</vt:lpwstr>
      </vt:variant>
      <vt:variant>
        <vt:lpwstr/>
      </vt:variant>
      <vt:variant>
        <vt:i4>4653138</vt:i4>
      </vt:variant>
      <vt:variant>
        <vt:i4>36</vt:i4>
      </vt:variant>
      <vt:variant>
        <vt:i4>0</vt:i4>
      </vt:variant>
      <vt:variant>
        <vt:i4>5</vt:i4>
      </vt:variant>
      <vt:variant>
        <vt:lpwstr>http://www.hrsa.gov/cicp</vt:lpwstr>
      </vt:variant>
      <vt:variant>
        <vt:lpwstr/>
      </vt:variant>
      <vt:variant>
        <vt:i4>4522062</vt:i4>
      </vt:variant>
      <vt:variant>
        <vt:i4>33</vt:i4>
      </vt:variant>
      <vt:variant>
        <vt:i4>0</vt:i4>
      </vt:variant>
      <vt:variant>
        <vt:i4>5</vt:i4>
      </vt:variant>
      <vt:variant>
        <vt:lpwstr>https://www.fda.gov/emergency-preparedness-and-response/mcm-legal-regulatory-and-policy-framework/emergency-use-authorization</vt:lpwstr>
      </vt:variant>
      <vt:variant>
        <vt:lpwstr/>
      </vt:variant>
      <vt:variant>
        <vt:i4>65603</vt:i4>
      </vt:variant>
      <vt:variant>
        <vt:i4>30</vt:i4>
      </vt:variant>
      <vt:variant>
        <vt:i4>0</vt:i4>
      </vt:variant>
      <vt:variant>
        <vt:i4>5</vt:i4>
      </vt:variant>
      <vt:variant>
        <vt:lpwstr>https://tips.hhs.gov/</vt:lpwstr>
      </vt:variant>
      <vt:variant>
        <vt:lpwstr/>
      </vt:variant>
      <vt:variant>
        <vt:i4>7209010</vt:i4>
      </vt:variant>
      <vt:variant>
        <vt:i4>27</vt:i4>
      </vt:variant>
      <vt:variant>
        <vt:i4>0</vt:i4>
      </vt:variant>
      <vt:variant>
        <vt:i4>5</vt:i4>
      </vt:variant>
      <vt:variant>
        <vt:lpwstr>https://www.cdc.gov/vaccines/covid-19/provider-enrollment.html</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7536682</vt:i4>
      </vt:variant>
      <vt:variant>
        <vt:i4>6</vt:i4>
      </vt:variant>
      <vt:variant>
        <vt:i4>0</vt:i4>
      </vt:variant>
      <vt:variant>
        <vt:i4>5</vt:i4>
      </vt:variant>
      <vt:variant>
        <vt:lpwstr>https://www.cdc.gov/vaccines/covid-19/clinical-considerations/managing-anaphylaxis.html</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2025-04-30T13:39:00Z</dcterms:created>
  <dcterms:modified xsi:type="dcterms:W3CDTF">2025-04-30T13:39:00Z</dcterms:modified>
</cp:coreProperties>
</file>